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TSG-RAN WG4 Meeting # 101-bis-e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R4-2200836</w:t>
      </w:r>
      <w:bookmarkStart w:id="0" w:name="_GoBack"/>
      <w:bookmarkEnd w:id="0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sz w:val="24"/>
          <w:lang w:eastAsia="zh-CN"/>
        </w:rPr>
        <w:t>Electronic Meeting, January 17-25, 2022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MS Mincho"/>
          <w:b/>
          <w:sz w:val="24"/>
          <w:lang w:val="en-US"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Discussion on </w:t>
      </w:r>
      <w:r>
        <w:rPr>
          <w:rFonts w:hint="eastAsia" w:ascii="Arial" w:hAnsi="Arial" w:eastAsia="MS Mincho"/>
          <w:b/>
          <w:sz w:val="24"/>
          <w:lang w:eastAsia="zh-CN"/>
        </w:rPr>
        <w:t>Spherical coverage requirements</w:t>
      </w:r>
      <w:r>
        <w:rPr>
          <w:rFonts w:hint="eastAsia" w:ascii="Arial" w:hAnsi="Arial" w:eastAsia="MS Mincho"/>
          <w:b/>
          <w:sz w:val="24"/>
          <w:lang w:val="en-US" w:eastAsia="zh-CN"/>
        </w:rPr>
        <w:t xml:space="preserve"> for HST_FR2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6.9.3.1.2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the viewpoints about spherical coverage for HST_FR2 are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10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Cs/>
          <w:kern w:val="0"/>
          <w:sz w:val="20"/>
          <w:szCs w:val="20"/>
        </w:rPr>
        <w:t>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following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agreements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about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spherical coverage requirement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were </w:t>
      </w:r>
      <w:r>
        <w:rPr>
          <w:rFonts w:ascii="Times New Roman" w:hAnsi="Times New Roman"/>
          <w:bCs/>
          <w:kern w:val="0"/>
          <w:sz w:val="20"/>
          <w:szCs w:val="20"/>
        </w:rPr>
        <w:t>reached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color w:val="0070C0"/>
                <w:highlight w:val="green"/>
              </w:rPr>
            </w:pPr>
            <w:r>
              <w:rPr>
                <w:color w:val="0070C0"/>
                <w:highlight w:val="green"/>
              </w:rPr>
              <w:t>Agreement:</w:t>
            </w:r>
          </w:p>
          <w:p>
            <w:pPr>
              <w:pStyle w:val="29"/>
              <w:numPr>
                <w:ilvl w:val="0"/>
                <w:numId w:val="4"/>
              </w:numPr>
              <w:spacing w:after="120"/>
              <w:ind w:left="720"/>
              <w:rPr>
                <w:highlight w:val="green"/>
              </w:rPr>
            </w:pPr>
            <w:r>
              <w:rPr>
                <w:highlight w:val="green"/>
              </w:rPr>
              <w:t xml:space="preserve">The unified RF requirements for FR2 HST UE are defined except spherical coverage </w:t>
            </w:r>
          </w:p>
          <w:p>
            <w:pPr>
              <w:pStyle w:val="29"/>
              <w:numPr>
                <w:ilvl w:val="1"/>
                <w:numId w:val="4"/>
              </w:num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>FFS on spherical coverage requirements</w:t>
            </w:r>
          </w:p>
          <w:p>
            <w:pPr>
              <w:pStyle w:val="29"/>
              <w:numPr>
                <w:ilvl w:val="2"/>
                <w:numId w:val="4"/>
              </w:num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 xml:space="preserve">Option 1: use the union of the largest spherical coverage of theta and phi to define the unified requirements </w:t>
            </w:r>
          </w:p>
          <w:p>
            <w:pPr>
              <w:pStyle w:val="29"/>
              <w:numPr>
                <w:ilvl w:val="2"/>
                <w:numId w:val="4"/>
              </w:numPr>
              <w:spacing w:after="120"/>
              <w:rPr>
                <w:rFonts w:hint="eastAsia"/>
                <w:szCs w:val="20"/>
                <w:highlight w:val="green"/>
                <w:lang w:val="en-GB" w:eastAsia="zh-CN"/>
              </w:rPr>
            </w:pPr>
            <w:r>
              <w:rPr>
                <w:highlight w:val="green"/>
              </w:rPr>
              <w:t xml:space="preserve">Option 2: The unified RF requirement for FR2 HST UE is defined based on one particular scenario requiring the largest spherical coverage. </w:t>
            </w:r>
          </w:p>
          <w:p>
            <w:pPr>
              <w:spacing w:after="180"/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Agreement:</w:t>
            </w:r>
          </w:p>
          <w:p>
            <w:pPr>
              <w:pStyle w:val="29"/>
              <w:numPr>
                <w:ilvl w:val="0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 xml:space="preserve">Directions of antenna panels: </w:t>
            </w:r>
          </w:p>
          <w:p>
            <w:pPr>
              <w:pStyle w:val="29"/>
              <w:numPr>
                <w:ilvl w:val="1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Boresight directions for forward and backward panels shall be declared by UE vendors.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FFS whether the limitation on boresight directions is needed</w:t>
            </w:r>
          </w:p>
          <w:p>
            <w:pPr>
              <w:pStyle w:val="29"/>
              <w:numPr>
                <w:ilvl w:val="0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 xml:space="preserve">Coordination system to be used for requirement definition: </w:t>
            </w:r>
          </w:p>
          <w:p>
            <w:pPr>
              <w:pStyle w:val="29"/>
              <w:numPr>
                <w:ilvl w:val="1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Option-1: absolute coordination system:</w:t>
            </w:r>
          </w:p>
          <w:p>
            <w:pPr>
              <w:pStyle w:val="29"/>
              <w:numPr>
                <w:ilvl w:val="1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Option 2: relative coordination system (relative to the claimed boresight direction)</w:t>
            </w:r>
          </w:p>
          <w:p>
            <w:pPr>
              <w:pStyle w:val="29"/>
              <w:numPr>
                <w:ilvl w:val="0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Spherical coverage x%-tile point</w:t>
            </w:r>
            <w:r>
              <w:rPr>
                <w:rFonts w:eastAsia="等线"/>
                <w:color w:val="FF0000"/>
                <w:highlight w:val="green"/>
              </w:rPr>
              <w:t xml:space="preserve"> </w:t>
            </w:r>
            <w:r>
              <w:rPr>
                <w:rFonts w:eastAsia="等线"/>
                <w:highlight w:val="green"/>
              </w:rPr>
              <w:t>per panel</w:t>
            </w:r>
          </w:p>
          <w:p>
            <w:pPr>
              <w:pStyle w:val="29"/>
              <w:numPr>
                <w:ilvl w:val="1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 xml:space="preserve">Azimuth angle (i.e., phi) range to cover: 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Option-1: [-45, +45] degree relative to absolute coordination system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Option-2: [-25, +25] degree relative to UE declared boresight direction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Other options are not precluded</w:t>
            </w:r>
          </w:p>
          <w:p>
            <w:pPr>
              <w:pStyle w:val="29"/>
              <w:numPr>
                <w:ilvl w:val="1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 xml:space="preserve">Elevation angle (i.e., theta) range to cover: 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eastAsia="等线"/>
                <w:highlight w:val="green"/>
              </w:rPr>
            </w:pPr>
            <w:r>
              <w:rPr>
                <w:rFonts w:eastAsia="等线"/>
                <w:highlight w:val="green"/>
              </w:rPr>
              <w:t>Option-1: [45, 90] degree relative to absolute coordination system</w:t>
            </w:r>
          </w:p>
          <w:p>
            <w:pPr>
              <w:pStyle w:val="29"/>
              <w:numPr>
                <w:ilvl w:val="2"/>
                <w:numId w:val="5"/>
              </w:numPr>
              <w:rPr>
                <w:rFonts w:hint="eastAsia"/>
                <w:szCs w:val="20"/>
                <w:highlight w:val="green"/>
                <w:lang w:val="en-GB" w:eastAsia="zh-CN"/>
              </w:rPr>
            </w:pPr>
            <w:r>
              <w:rPr>
                <w:rFonts w:eastAsia="等线"/>
                <w:highlight w:val="green"/>
              </w:rPr>
              <w:t>Option-2: [-10, +10] degree relative to UE declared boresight directio</w:t>
            </w:r>
          </w:p>
        </w:tc>
      </w:tr>
    </w:tbl>
    <w:p>
      <w:pPr>
        <w:pStyle w:val="29"/>
        <w:ind w:firstLine="0" w:firstLineChars="0"/>
        <w:rPr>
          <w:rFonts w:hint="default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</w:pPr>
      <w:r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  <w:t>The azimuth angle ranges are depicted in figure 1, figure 2 and figure 3. It can be seen from these figures that scenario B uni-directional deployment has the largest azimuth angle span.</w:t>
      </w:r>
    </w:p>
    <w:p>
      <w:pPr>
        <w:pStyle w:val="29"/>
        <w:ind w:firstLine="0" w:firstLineChars="0"/>
      </w:pPr>
      <w:r>
        <w:object>
          <v:shape id="_x0000_i1025" o:spt="75" type="#_x0000_t75" style="height:126.45pt;width:415.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Figure 1 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Azimuth range for scenario A uni-directional deployment</w:t>
      </w:r>
    </w:p>
    <w:p>
      <w:pPr>
        <w:pStyle w:val="29"/>
        <w:ind w:firstLine="0" w:firstLineChars="0"/>
      </w:pPr>
      <w:r>
        <w:object>
          <v:shape id="_x0000_i1026" o:spt="75" type="#_x0000_t75" style="height:124.6pt;width:415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Figure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Azimuth range for scenario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un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i-directional deployment</w:t>
      </w:r>
    </w:p>
    <w:p>
      <w:pPr>
        <w:pStyle w:val="29"/>
        <w:ind w:firstLine="0" w:firstLineChars="0"/>
      </w:pPr>
      <w:r>
        <w:object>
          <v:shape id="_x0000_i1027" o:spt="75" type="#_x0000_t75" style="height:180.3pt;width:415.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9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Figure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Azimuth range for scenario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i-directional deployment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scenario B uni-directional deployment has the largest azimuth angle span.</w:t>
      </w:r>
    </w:p>
    <w:p>
      <w:pPr>
        <w:pStyle w:val="29"/>
        <w:ind w:firstLine="0" w:firstLineChars="0"/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Figure 4, figure 5 and figure 7 depict the elevation angle range for scenario A uni-directional deployment, scenario-B uni-directional deployment and scenario-B bi-directional deployment.</w:t>
      </w:r>
    </w:p>
    <w:p>
      <w:pPr>
        <w:pStyle w:val="29"/>
        <w:ind w:firstLine="0" w:firstLineChars="0"/>
      </w:pPr>
      <w:r>
        <w:object>
          <v:shape id="_x0000_i1028" o:spt="75" type="#_x0000_t75" style="height:193.45pt;width:415.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1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Figure 4 elevation range for scenario-A uni-directional deployment</w:t>
      </w:r>
    </w:p>
    <w:p>
      <w:pPr>
        <w:pStyle w:val="29"/>
        <w:ind w:firstLine="0" w:firstLineChars="0"/>
      </w:pPr>
      <w:r>
        <w:object>
          <v:shape id="_x0000_i1029" o:spt="75" type="#_x0000_t75" style="height:193.45pt;width:415.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3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Figure 5 elevation range for scenario-B uni-directional deployment</w:t>
      </w:r>
    </w:p>
    <w:p>
      <w:pPr>
        <w:pStyle w:val="29"/>
        <w:ind w:firstLine="0" w:firstLineChars="0"/>
      </w:pPr>
    </w:p>
    <w:p>
      <w:pPr>
        <w:pStyle w:val="29"/>
        <w:ind w:firstLine="0" w:firstLineChars="0"/>
      </w:pPr>
      <w:r>
        <w:object>
          <v:shape id="_x0000_i1030" o:spt="75" type="#_x0000_t75" style="height:203.5pt;width:415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1" ShapeID="_x0000_i1030" DrawAspect="Content" ObjectID="_1468075730" r:id="rId15">
            <o:LockedField>false</o:LockedField>
          </o:OLEObject>
        </w:object>
      </w:r>
    </w:p>
    <w:p>
      <w:pPr>
        <w:pStyle w:val="29"/>
        <w:ind w:firstLine="0" w:firstLineChars="0"/>
        <w:jc w:val="center"/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Figure 6 elevation range for scenario-B Bi-directional deployment</w:t>
      </w:r>
    </w:p>
    <w:p>
      <w:pPr>
        <w:pStyle w:val="29"/>
        <w:ind w:firstLine="0" w:firstLineChars="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Table 1 summarize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the elevation angle range for different scenario deployment combinations with different Hdiff.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2425"/>
        <w:gridCol w:w="2142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Hdiff</w:t>
            </w: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Elevation angle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 xml:space="preserve">Value </w:t>
            </w:r>
          </w:p>
        </w:tc>
        <w:tc>
          <w:tcPr>
            <w:tcW w:w="1898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Angle span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a_near_scnA_uni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35.2644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34.4575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a_far_scnA_uni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0.8068</w:t>
            </w:r>
          </w:p>
        </w:tc>
        <w:tc>
          <w:tcPr>
            <w:tcW w:w="189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a_near_scnB_uni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3.1749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2.4710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a_far_scnB_uni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0.7039</w:t>
            </w:r>
          </w:p>
        </w:tc>
        <w:tc>
          <w:tcPr>
            <w:tcW w:w="189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a_near_scnB_bi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1.5043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0.7040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a_far_scnB_bi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0.8003</w:t>
            </w:r>
          </w:p>
        </w:tc>
        <w:tc>
          <w:tcPr>
            <w:tcW w:w="189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30</w:t>
            </w: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a_near_scnA_uni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64.7606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62.3413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a_far_scnA_uni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2.4193</w:t>
            </w:r>
          </w:p>
        </w:tc>
        <w:tc>
          <w:tcPr>
            <w:tcW w:w="189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a_near_scnB_uni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9.4480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7.3372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a_far_scnB_uni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2.1108</w:t>
            </w:r>
          </w:p>
        </w:tc>
        <w:tc>
          <w:tcPr>
            <w:tcW w:w="189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a_near_scnB_bi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4.5047</w:t>
            </w:r>
          </w:p>
        </w:tc>
        <w:tc>
          <w:tcPr>
            <w:tcW w:w="189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2.1051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a_far_scnB_bi</w:t>
            </w:r>
          </w:p>
        </w:tc>
        <w:tc>
          <w:tcPr>
            <w:tcW w:w="2142" w:type="dxa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2.3996</w:t>
            </w:r>
          </w:p>
        </w:tc>
        <w:tc>
          <w:tcPr>
            <w:tcW w:w="1898" w:type="dxa"/>
            <w:vMerge w:val="continue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</w:tbl>
    <w:p>
      <w:pPr>
        <w:pStyle w:val="29"/>
        <w:ind w:firstLine="0" w:firstLineChars="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From table 1, we can see that scenario-A uni-directional deployment has the largest elevation angle span.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scenario A uni-directional deployment has the largest elevation angle span.</w:t>
      </w:r>
    </w:p>
    <w:p>
      <w:pPr>
        <w:pStyle w:val="29"/>
        <w:ind w:firstLine="0" w:firstLineChars="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Based on the above analysis, option 1 can be considered to define the unified spherical coverage requirements.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consider option 1 to define the unified spherical coverage requirements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>With regard to azimuth angle range, option 1 the range of [-45, +45] degree relative to absolute coordination system can be considered to define spherical coverage x%-tile point per panel.</w:t>
      </w:r>
    </w:p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>From table 1 we can find that the elevation angle range depend on the Hdiff for the same scenario deployment combination.</w:t>
      </w:r>
    </w:p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>If Hdiff is assumed 10m, the elevation angle range of option 1 can be considered. On the other hand the Hdiff in practical deployment may larger than 10m, so other value for Hdiff should be considered for the elevation angle range.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Other values than 10m for Hdiff need to be considered for the elevation angle range.</w:t>
      </w:r>
    </w:p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kern w:val="0"/>
          <w:sz w:val="20"/>
          <w:szCs w:val="20"/>
          <w:lang w:val="en-US" w:eastAsia="zh-CN"/>
        </w:rPr>
        <w:t xml:space="preserve">For relative coordinates </w:t>
      </w: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 xml:space="preserve">vs </w:t>
      </w:r>
      <w:r>
        <w:rPr>
          <w:rFonts w:hint="default" w:eastAsia="宋体"/>
          <w:b w:val="0"/>
          <w:bCs/>
          <w:kern w:val="0"/>
          <w:sz w:val="20"/>
          <w:szCs w:val="20"/>
          <w:lang w:val="en-US" w:eastAsia="zh-CN"/>
        </w:rPr>
        <w:t>absolute coordinates, we believe that both can work and are essentially equivalent</w:t>
      </w: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 xml:space="preserve">. We tend to use absolute coordinates for testing, which makes the test specification more simplified and the test results of various manufacturers more consistent. 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consider absolute coordination system for testing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 xml:space="preserve">RRH deployment on both sides was discussed in RRM session </w:t>
      </w:r>
      <w:r>
        <w:rPr>
          <w:rFonts w:hint="eastAsia" w:eastAsia="宋体"/>
          <w:b w:val="0"/>
          <w:bCs/>
          <w:kern w:val="0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Yu Mincho"/>
                <w:b/>
              </w:rPr>
            </w:pPr>
            <w:r>
              <w:rPr>
                <w:rFonts w:eastAsia="Yu Mincho"/>
                <w:b/>
                <w:highlight w:val="green"/>
              </w:rPr>
              <w:t>Agreements: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360" w:lineRule="auto"/>
              <w:ind w:left="284"/>
              <w:textAlignment w:val="baseline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Consideration of RRH positions at one/both sides of rail track doesn’t have impact on 6Rx beams agreement in Scenario B (set 2)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Theme="minorEastAsia"/>
                <w:b/>
                <w:bCs/>
                <w:iCs/>
              </w:rPr>
            </w:pPr>
            <w:r>
              <w:rPr>
                <w:rFonts w:eastAsiaTheme="minorEastAsia"/>
                <w:b/>
                <w:bCs/>
                <w:iCs/>
              </w:rPr>
              <w:t>Way forward: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color w:val="0000FF"/>
              </w:rPr>
            </w:pPr>
            <w:r>
              <w:rPr>
                <w:rFonts w:eastAsiaTheme="minorEastAsia"/>
                <w:iCs/>
              </w:rPr>
              <w:t>FFS, whether it is necessary and how to address scenario-B (Set 2) with two-side RRH</w:t>
            </w:r>
          </w:p>
        </w:tc>
      </w:tr>
    </w:tbl>
    <w:p>
      <w:pP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kern w:val="0"/>
          <w:sz w:val="20"/>
          <w:szCs w:val="20"/>
          <w:lang w:val="en-US" w:eastAsia="zh-CN"/>
        </w:rPr>
        <w:t>If RRH deployment on both sides is considered, the coverage of the HST CPE need to cover both sides which demands wider azimuth angle span as depicted below.</w:t>
      </w:r>
    </w:p>
    <w:p>
      <w:r>
        <w:object>
          <v:shape id="_x0000_i1031" o:spt="75" type="#_x0000_t75" style="height:196.6pt;width:415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31" DrawAspect="Content" ObjectID="_1468075731" r:id="rId17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7 Azimuth range for scenario B uni-directional deployment with RRH deployed at both sides.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 shown in figure 7, when RRHs are deployed on both sides of the track, the azimuth coverage of HST CPE is required to be doubled.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The azimuth coverage of HST CPE is required to be doubled when RRHs are deployed on both sides of the track.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 xml:space="preserve">In this contribution, we provide the following observations and proposals for </w:t>
      </w:r>
      <w:r>
        <w:rPr>
          <w:rFonts w:hint="eastAsia" w:eastAsia="宋体"/>
          <w:szCs w:val="20"/>
          <w:lang w:val="en-US" w:eastAsia="zh-CN"/>
        </w:rPr>
        <w:t>spherical coverage for HST_FR2</w:t>
      </w:r>
      <w:r>
        <w:rPr>
          <w:rFonts w:hint="eastAsia" w:eastAsia="宋体"/>
          <w:bCs/>
          <w:szCs w:val="20"/>
          <w:lang w:eastAsia="zh-CN"/>
        </w:rPr>
        <w:t>: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scenario B uni-directional deployment has the largest azimuth angle span.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scenario A uni-directional deployment has the largest elevation angle span.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Other values than 10m for Hdiff need to be considered for the elevation angle range.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Observation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The azimuth coverage of HST CPE is required to be doubled when RRHs are deployed on both sides of the track.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consider option 1 to define the unified spherical coverage requirements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consider absolute coordination system for testing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R4-2120066 WF on FR2 HST UE requirements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</w:rPr>
        <w:t>R4-2120292</w:t>
      </w:r>
      <w:r>
        <w:rPr>
          <w:rFonts w:hint="eastAsia"/>
          <w:sz w:val="20"/>
          <w:szCs w:val="20"/>
          <w:lang w:val="en-US" w:eastAsia="zh-CN"/>
        </w:rPr>
        <w:t xml:space="preserve"> WF on FR2 HST RRM (part 1)</w:t>
      </w:r>
    </w:p>
    <w:p>
      <w:pPr>
        <w:rPr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538714C"/>
    <w:multiLevelType w:val="multilevel"/>
    <w:tmpl w:val="3538714C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0"/>
      <w:numFmt w:val="bullet"/>
      <w:lvlText w:val="-"/>
      <w:lvlJc w:val="left"/>
      <w:pPr>
        <w:ind w:left="3816" w:hanging="360"/>
      </w:pPr>
      <w:rPr>
        <w:rFonts w:hint="default" w:ascii="Times New Roman" w:hAnsi="Times New Roman" w:cs="Times New Roman" w:eastAsiaTheme="minorEastAsia"/>
      </w:rPr>
    </w:lvl>
    <w:lvl w:ilvl="5" w:tentative="0">
      <w:start w:val="0"/>
      <w:numFmt w:val="bullet"/>
      <w:lvlText w:val=""/>
      <w:lvlJc w:val="left"/>
      <w:pPr>
        <w:ind w:left="4536" w:hanging="360"/>
      </w:pPr>
      <w:rPr>
        <w:rFonts w:hint="default" w:ascii="Wingdings" w:hAnsi="Wingdings" w:cs="Times New Roman" w:eastAsiaTheme="minorEastAsia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E4"/>
    <w:rsid w:val="00001326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3F97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174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161C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676827"/>
    <w:rsid w:val="018B3BAA"/>
    <w:rsid w:val="01957959"/>
    <w:rsid w:val="01DC1C82"/>
    <w:rsid w:val="02065A2E"/>
    <w:rsid w:val="020928F5"/>
    <w:rsid w:val="02626E3D"/>
    <w:rsid w:val="027035ED"/>
    <w:rsid w:val="02770E1A"/>
    <w:rsid w:val="0298367A"/>
    <w:rsid w:val="02D254EC"/>
    <w:rsid w:val="02F72239"/>
    <w:rsid w:val="02FE5F82"/>
    <w:rsid w:val="032D5AEE"/>
    <w:rsid w:val="035B11B6"/>
    <w:rsid w:val="03A05508"/>
    <w:rsid w:val="03AB67DC"/>
    <w:rsid w:val="03B52240"/>
    <w:rsid w:val="03C77456"/>
    <w:rsid w:val="043D2559"/>
    <w:rsid w:val="0478015E"/>
    <w:rsid w:val="0526729B"/>
    <w:rsid w:val="05510DD1"/>
    <w:rsid w:val="062A620F"/>
    <w:rsid w:val="064B00B0"/>
    <w:rsid w:val="06654A0B"/>
    <w:rsid w:val="06823D8F"/>
    <w:rsid w:val="07622262"/>
    <w:rsid w:val="07CD3CDD"/>
    <w:rsid w:val="0884066A"/>
    <w:rsid w:val="09240BB6"/>
    <w:rsid w:val="09294F7D"/>
    <w:rsid w:val="09674661"/>
    <w:rsid w:val="097E672F"/>
    <w:rsid w:val="09825F02"/>
    <w:rsid w:val="09922D76"/>
    <w:rsid w:val="09AB6C45"/>
    <w:rsid w:val="09E20449"/>
    <w:rsid w:val="0A2802DC"/>
    <w:rsid w:val="0A731B50"/>
    <w:rsid w:val="0B2E0718"/>
    <w:rsid w:val="0B802D0D"/>
    <w:rsid w:val="0BC176FB"/>
    <w:rsid w:val="0BC70982"/>
    <w:rsid w:val="0BF41031"/>
    <w:rsid w:val="0C953742"/>
    <w:rsid w:val="0CA242EA"/>
    <w:rsid w:val="0D613BA3"/>
    <w:rsid w:val="0D744565"/>
    <w:rsid w:val="0D7F564D"/>
    <w:rsid w:val="0D835665"/>
    <w:rsid w:val="0DE052FE"/>
    <w:rsid w:val="0E3330D0"/>
    <w:rsid w:val="0ECE66B5"/>
    <w:rsid w:val="0ED62F9C"/>
    <w:rsid w:val="0F11785B"/>
    <w:rsid w:val="0F372967"/>
    <w:rsid w:val="0F4B1309"/>
    <w:rsid w:val="0FDA7DDA"/>
    <w:rsid w:val="0FFA1150"/>
    <w:rsid w:val="1013275A"/>
    <w:rsid w:val="10E50FEE"/>
    <w:rsid w:val="112D72C6"/>
    <w:rsid w:val="11A50508"/>
    <w:rsid w:val="120639A8"/>
    <w:rsid w:val="125D4125"/>
    <w:rsid w:val="12AE4121"/>
    <w:rsid w:val="13583391"/>
    <w:rsid w:val="137F4008"/>
    <w:rsid w:val="13F672DD"/>
    <w:rsid w:val="140C5848"/>
    <w:rsid w:val="141B497D"/>
    <w:rsid w:val="143E38B7"/>
    <w:rsid w:val="144E5CD4"/>
    <w:rsid w:val="15220493"/>
    <w:rsid w:val="157F48AA"/>
    <w:rsid w:val="158F210D"/>
    <w:rsid w:val="15E12A88"/>
    <w:rsid w:val="15E95672"/>
    <w:rsid w:val="16271D63"/>
    <w:rsid w:val="16BD2FB9"/>
    <w:rsid w:val="16D87C95"/>
    <w:rsid w:val="16E7731D"/>
    <w:rsid w:val="175E5C8C"/>
    <w:rsid w:val="179855D1"/>
    <w:rsid w:val="19607D81"/>
    <w:rsid w:val="199503FD"/>
    <w:rsid w:val="19AF5CF6"/>
    <w:rsid w:val="1A3F5603"/>
    <w:rsid w:val="1AA54D0B"/>
    <w:rsid w:val="1B870B5B"/>
    <w:rsid w:val="1BBC09F6"/>
    <w:rsid w:val="1C3672FA"/>
    <w:rsid w:val="1C3A751E"/>
    <w:rsid w:val="1C5D00DA"/>
    <w:rsid w:val="1C7D0C1A"/>
    <w:rsid w:val="1C7E2DD6"/>
    <w:rsid w:val="1CAD4CCB"/>
    <w:rsid w:val="1CCC40C9"/>
    <w:rsid w:val="1CE03029"/>
    <w:rsid w:val="1D186F9D"/>
    <w:rsid w:val="1D882A1C"/>
    <w:rsid w:val="1DA251E1"/>
    <w:rsid w:val="1DA93704"/>
    <w:rsid w:val="1F295D72"/>
    <w:rsid w:val="1F4325C8"/>
    <w:rsid w:val="1F595BBB"/>
    <w:rsid w:val="1F7C7957"/>
    <w:rsid w:val="1F7E1A3E"/>
    <w:rsid w:val="1FD21E35"/>
    <w:rsid w:val="1FD96681"/>
    <w:rsid w:val="1FE10390"/>
    <w:rsid w:val="1FEE7A9C"/>
    <w:rsid w:val="200E58BD"/>
    <w:rsid w:val="205164A7"/>
    <w:rsid w:val="2090238B"/>
    <w:rsid w:val="20B54C35"/>
    <w:rsid w:val="20BA6502"/>
    <w:rsid w:val="20E1398D"/>
    <w:rsid w:val="20EF3DF7"/>
    <w:rsid w:val="216D7544"/>
    <w:rsid w:val="21B80AA5"/>
    <w:rsid w:val="221703FC"/>
    <w:rsid w:val="225216B5"/>
    <w:rsid w:val="22B37446"/>
    <w:rsid w:val="235408E6"/>
    <w:rsid w:val="239838E3"/>
    <w:rsid w:val="23FD5BE3"/>
    <w:rsid w:val="24386853"/>
    <w:rsid w:val="24715F69"/>
    <w:rsid w:val="249F5850"/>
    <w:rsid w:val="24B140D4"/>
    <w:rsid w:val="24C569C9"/>
    <w:rsid w:val="24CD28B9"/>
    <w:rsid w:val="24F907DC"/>
    <w:rsid w:val="250D35C2"/>
    <w:rsid w:val="252A03F9"/>
    <w:rsid w:val="259B775B"/>
    <w:rsid w:val="25EF43C8"/>
    <w:rsid w:val="26131BE7"/>
    <w:rsid w:val="262E08BF"/>
    <w:rsid w:val="263951B2"/>
    <w:rsid w:val="263E55AD"/>
    <w:rsid w:val="264B37D3"/>
    <w:rsid w:val="26942B96"/>
    <w:rsid w:val="27930B1B"/>
    <w:rsid w:val="283146AB"/>
    <w:rsid w:val="288C6204"/>
    <w:rsid w:val="28A96A0F"/>
    <w:rsid w:val="28EE7A07"/>
    <w:rsid w:val="2953493D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1A5D63"/>
    <w:rsid w:val="2C2907BF"/>
    <w:rsid w:val="2C80477B"/>
    <w:rsid w:val="2CA73FE3"/>
    <w:rsid w:val="2CD46AFB"/>
    <w:rsid w:val="2CE15438"/>
    <w:rsid w:val="2D702EC0"/>
    <w:rsid w:val="2D812190"/>
    <w:rsid w:val="2DA94150"/>
    <w:rsid w:val="2E1176AC"/>
    <w:rsid w:val="2E617130"/>
    <w:rsid w:val="2E767E59"/>
    <w:rsid w:val="2ECB7AE0"/>
    <w:rsid w:val="2F0E5D72"/>
    <w:rsid w:val="2F235269"/>
    <w:rsid w:val="2F322289"/>
    <w:rsid w:val="2F4B1C2D"/>
    <w:rsid w:val="2FDC375A"/>
    <w:rsid w:val="30571C73"/>
    <w:rsid w:val="30943D7F"/>
    <w:rsid w:val="309C7501"/>
    <w:rsid w:val="313A0372"/>
    <w:rsid w:val="3156248D"/>
    <w:rsid w:val="316C26E3"/>
    <w:rsid w:val="31B6217A"/>
    <w:rsid w:val="31BD4D6E"/>
    <w:rsid w:val="320A024B"/>
    <w:rsid w:val="32305666"/>
    <w:rsid w:val="328D4D87"/>
    <w:rsid w:val="32EC2013"/>
    <w:rsid w:val="33021368"/>
    <w:rsid w:val="33133DBA"/>
    <w:rsid w:val="33491F36"/>
    <w:rsid w:val="33883009"/>
    <w:rsid w:val="346C2BDC"/>
    <w:rsid w:val="34E63221"/>
    <w:rsid w:val="34EA3595"/>
    <w:rsid w:val="34F31159"/>
    <w:rsid w:val="34F61BA3"/>
    <w:rsid w:val="35684E72"/>
    <w:rsid w:val="35D34EB8"/>
    <w:rsid w:val="361A0DD1"/>
    <w:rsid w:val="363A75C1"/>
    <w:rsid w:val="36950F43"/>
    <w:rsid w:val="36F13745"/>
    <w:rsid w:val="37235D83"/>
    <w:rsid w:val="386C1CFB"/>
    <w:rsid w:val="388C38C8"/>
    <w:rsid w:val="388E6306"/>
    <w:rsid w:val="3891144C"/>
    <w:rsid w:val="38E40513"/>
    <w:rsid w:val="393853EE"/>
    <w:rsid w:val="39474FFC"/>
    <w:rsid w:val="39A12E64"/>
    <w:rsid w:val="39E551C2"/>
    <w:rsid w:val="3A985F9F"/>
    <w:rsid w:val="3ACA79CB"/>
    <w:rsid w:val="3ACD696C"/>
    <w:rsid w:val="3AF01FB4"/>
    <w:rsid w:val="3B1A6BBF"/>
    <w:rsid w:val="3B1D04C9"/>
    <w:rsid w:val="3B564493"/>
    <w:rsid w:val="3B68666D"/>
    <w:rsid w:val="3B924465"/>
    <w:rsid w:val="3BA94452"/>
    <w:rsid w:val="3BC526E3"/>
    <w:rsid w:val="3BE64D6A"/>
    <w:rsid w:val="3C6C7288"/>
    <w:rsid w:val="3C8B2EA4"/>
    <w:rsid w:val="3CC85F33"/>
    <w:rsid w:val="3D2A699D"/>
    <w:rsid w:val="3D373F9F"/>
    <w:rsid w:val="3D6F2596"/>
    <w:rsid w:val="3DC16634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3FEB354A"/>
    <w:rsid w:val="40273EB3"/>
    <w:rsid w:val="403917EB"/>
    <w:rsid w:val="404F7A6B"/>
    <w:rsid w:val="40705D5D"/>
    <w:rsid w:val="40C765F3"/>
    <w:rsid w:val="41071BAC"/>
    <w:rsid w:val="41256FB7"/>
    <w:rsid w:val="4154071D"/>
    <w:rsid w:val="416E50C0"/>
    <w:rsid w:val="42C843A0"/>
    <w:rsid w:val="42F20CDD"/>
    <w:rsid w:val="43776349"/>
    <w:rsid w:val="43A46A86"/>
    <w:rsid w:val="43EE5166"/>
    <w:rsid w:val="44B2766E"/>
    <w:rsid w:val="44C82F04"/>
    <w:rsid w:val="453D01E5"/>
    <w:rsid w:val="45834801"/>
    <w:rsid w:val="458F4D24"/>
    <w:rsid w:val="459C5BD8"/>
    <w:rsid w:val="45B01F58"/>
    <w:rsid w:val="45ED56E7"/>
    <w:rsid w:val="45F60A50"/>
    <w:rsid w:val="465B1E86"/>
    <w:rsid w:val="46C6208F"/>
    <w:rsid w:val="482C6CD1"/>
    <w:rsid w:val="4853345A"/>
    <w:rsid w:val="48845C84"/>
    <w:rsid w:val="489C44D3"/>
    <w:rsid w:val="48F656AE"/>
    <w:rsid w:val="48F82FC3"/>
    <w:rsid w:val="490D3059"/>
    <w:rsid w:val="49500FEB"/>
    <w:rsid w:val="4982678C"/>
    <w:rsid w:val="49F32E1B"/>
    <w:rsid w:val="49FF1C1E"/>
    <w:rsid w:val="4A0B7057"/>
    <w:rsid w:val="4A280667"/>
    <w:rsid w:val="4A511B6E"/>
    <w:rsid w:val="4A7C4548"/>
    <w:rsid w:val="4B5B5B93"/>
    <w:rsid w:val="4B901389"/>
    <w:rsid w:val="4C2C30BE"/>
    <w:rsid w:val="4C3A2A9D"/>
    <w:rsid w:val="4C5D2EB7"/>
    <w:rsid w:val="4C8D7B0E"/>
    <w:rsid w:val="4CBF03D6"/>
    <w:rsid w:val="4D014AEF"/>
    <w:rsid w:val="4D513299"/>
    <w:rsid w:val="4DA22392"/>
    <w:rsid w:val="4DBE5704"/>
    <w:rsid w:val="4DD81DA6"/>
    <w:rsid w:val="4E9A7FF9"/>
    <w:rsid w:val="4EDF702E"/>
    <w:rsid w:val="4EF148C1"/>
    <w:rsid w:val="4F047884"/>
    <w:rsid w:val="4F813AF7"/>
    <w:rsid w:val="4FBD6EC5"/>
    <w:rsid w:val="4FBF1AB2"/>
    <w:rsid w:val="50150A2D"/>
    <w:rsid w:val="504E5AC6"/>
    <w:rsid w:val="505076EF"/>
    <w:rsid w:val="505F3BD5"/>
    <w:rsid w:val="508A0B34"/>
    <w:rsid w:val="513C5648"/>
    <w:rsid w:val="51736098"/>
    <w:rsid w:val="51B14BED"/>
    <w:rsid w:val="51EE252C"/>
    <w:rsid w:val="51FA3D86"/>
    <w:rsid w:val="52022698"/>
    <w:rsid w:val="526965AA"/>
    <w:rsid w:val="531E2281"/>
    <w:rsid w:val="54175BE1"/>
    <w:rsid w:val="5445166E"/>
    <w:rsid w:val="54632332"/>
    <w:rsid w:val="54944CE7"/>
    <w:rsid w:val="55436523"/>
    <w:rsid w:val="55CA20E9"/>
    <w:rsid w:val="55ED23C7"/>
    <w:rsid w:val="56196A30"/>
    <w:rsid w:val="563C5184"/>
    <w:rsid w:val="565631F5"/>
    <w:rsid w:val="56C44CD3"/>
    <w:rsid w:val="581B09AF"/>
    <w:rsid w:val="582E227B"/>
    <w:rsid w:val="58983966"/>
    <w:rsid w:val="589E3B99"/>
    <w:rsid w:val="589F3533"/>
    <w:rsid w:val="591E124A"/>
    <w:rsid w:val="59222E1A"/>
    <w:rsid w:val="593261D2"/>
    <w:rsid w:val="59423730"/>
    <w:rsid w:val="595A6E9E"/>
    <w:rsid w:val="5A7B3B9F"/>
    <w:rsid w:val="5A8F1C82"/>
    <w:rsid w:val="5AA04D8D"/>
    <w:rsid w:val="5AFF5DE6"/>
    <w:rsid w:val="5B4026E8"/>
    <w:rsid w:val="5B482E24"/>
    <w:rsid w:val="5C9A4DB7"/>
    <w:rsid w:val="5CA41236"/>
    <w:rsid w:val="5D1A39EE"/>
    <w:rsid w:val="5D5C7688"/>
    <w:rsid w:val="5E224225"/>
    <w:rsid w:val="5E2732CD"/>
    <w:rsid w:val="5E336F39"/>
    <w:rsid w:val="60205F90"/>
    <w:rsid w:val="608B6BCC"/>
    <w:rsid w:val="608E2F6C"/>
    <w:rsid w:val="60EC3C37"/>
    <w:rsid w:val="61542874"/>
    <w:rsid w:val="61A058F7"/>
    <w:rsid w:val="62082A4E"/>
    <w:rsid w:val="623C28E2"/>
    <w:rsid w:val="62D53BF4"/>
    <w:rsid w:val="63483DC6"/>
    <w:rsid w:val="635A3049"/>
    <w:rsid w:val="63610183"/>
    <w:rsid w:val="637947A5"/>
    <w:rsid w:val="63D0005D"/>
    <w:rsid w:val="64B7605C"/>
    <w:rsid w:val="652B096E"/>
    <w:rsid w:val="658B678B"/>
    <w:rsid w:val="65E73B66"/>
    <w:rsid w:val="66131984"/>
    <w:rsid w:val="66153079"/>
    <w:rsid w:val="66785612"/>
    <w:rsid w:val="66E16576"/>
    <w:rsid w:val="66E33C2D"/>
    <w:rsid w:val="67427945"/>
    <w:rsid w:val="68233C28"/>
    <w:rsid w:val="6906197A"/>
    <w:rsid w:val="69163AF6"/>
    <w:rsid w:val="69292BE7"/>
    <w:rsid w:val="692A17F3"/>
    <w:rsid w:val="69C27972"/>
    <w:rsid w:val="6A2E4954"/>
    <w:rsid w:val="6A6E396D"/>
    <w:rsid w:val="6A983C38"/>
    <w:rsid w:val="6AC9421D"/>
    <w:rsid w:val="6AD94F47"/>
    <w:rsid w:val="6AF43FB0"/>
    <w:rsid w:val="6C4C2667"/>
    <w:rsid w:val="6CDA49A3"/>
    <w:rsid w:val="6CF36133"/>
    <w:rsid w:val="6D044CB7"/>
    <w:rsid w:val="6D2C0194"/>
    <w:rsid w:val="6DD1076A"/>
    <w:rsid w:val="6DDE3DAF"/>
    <w:rsid w:val="6E1735DC"/>
    <w:rsid w:val="6E2211D6"/>
    <w:rsid w:val="6F1206C7"/>
    <w:rsid w:val="6FBA4BA1"/>
    <w:rsid w:val="70D37646"/>
    <w:rsid w:val="70E13200"/>
    <w:rsid w:val="714420CD"/>
    <w:rsid w:val="715F4C2D"/>
    <w:rsid w:val="724530CF"/>
    <w:rsid w:val="727009A5"/>
    <w:rsid w:val="72CB7F46"/>
    <w:rsid w:val="73121CB7"/>
    <w:rsid w:val="745A66E9"/>
    <w:rsid w:val="745C121D"/>
    <w:rsid w:val="74BC3FA6"/>
    <w:rsid w:val="74FE041B"/>
    <w:rsid w:val="755C4C37"/>
    <w:rsid w:val="75E93B0F"/>
    <w:rsid w:val="761A2E8D"/>
    <w:rsid w:val="768D7CD7"/>
    <w:rsid w:val="774D1291"/>
    <w:rsid w:val="77647371"/>
    <w:rsid w:val="776C25E5"/>
    <w:rsid w:val="776C3E9D"/>
    <w:rsid w:val="77B7237F"/>
    <w:rsid w:val="78271104"/>
    <w:rsid w:val="784B7472"/>
    <w:rsid w:val="7962750F"/>
    <w:rsid w:val="796B0021"/>
    <w:rsid w:val="79701A60"/>
    <w:rsid w:val="797218E2"/>
    <w:rsid w:val="7A4205D3"/>
    <w:rsid w:val="7AB05BBC"/>
    <w:rsid w:val="7AB44E97"/>
    <w:rsid w:val="7AB94AC3"/>
    <w:rsid w:val="7AE36910"/>
    <w:rsid w:val="7B063929"/>
    <w:rsid w:val="7B940404"/>
    <w:rsid w:val="7BF8597E"/>
    <w:rsid w:val="7C12395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0E5579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emf"/><Relationship Id="rId17" Type="http://schemas.openxmlformats.org/officeDocument/2006/relationships/oleObject" Target="embeddings/oleObject7.bin"/><Relationship Id="rId16" Type="http://schemas.openxmlformats.org/officeDocument/2006/relationships/image" Target="media/image6.emf"/><Relationship Id="rId15" Type="http://schemas.openxmlformats.org/officeDocument/2006/relationships/oleObject" Target="embeddings/oleObject6.bin"/><Relationship Id="rId14" Type="http://schemas.openxmlformats.org/officeDocument/2006/relationships/image" Target="media/image5.emf"/><Relationship Id="rId13" Type="http://schemas.openxmlformats.org/officeDocument/2006/relationships/oleObject" Target="embeddings/oleObject5.bin"/><Relationship Id="rId12" Type="http://schemas.openxmlformats.org/officeDocument/2006/relationships/image" Target="media/image4.emf"/><Relationship Id="rId11" Type="http://schemas.openxmlformats.org/officeDocument/2006/relationships/oleObject" Target="embeddings/oleObject4.bin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223</Words>
  <Characters>1272</Characters>
  <Lines>10</Lines>
  <Paragraphs>2</Paragraphs>
  <TotalTime>0</TotalTime>
  <ScaleCrop>false</ScaleCrop>
  <LinksUpToDate>false</LinksUpToDate>
  <CharactersWithSpaces>1493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2022-01-10T08:09:40Z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